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73B9" w:rsidTr="00050DA7">
        <w:tc>
          <w:tcPr>
            <w:tcW w:w="4428" w:type="dxa"/>
          </w:tcPr>
          <w:p w:rsidR="000348ED" w:rsidRPr="00CB75F4" w:rsidRDefault="005D05AC" w:rsidP="005A73B9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CB75F4">
              <w:rPr>
                <w:rFonts w:asciiTheme="minorHAnsi" w:hAnsiTheme="minorHAnsi"/>
              </w:rPr>
              <w:t>From:</w:t>
            </w:r>
            <w:r w:rsidRPr="00CB75F4">
              <w:rPr>
                <w:rFonts w:asciiTheme="minorHAnsi" w:hAnsiTheme="minorHAnsi"/>
              </w:rPr>
              <w:tab/>
            </w:r>
            <w:r w:rsidR="005A73B9" w:rsidRPr="00CB75F4">
              <w:rPr>
                <w:rFonts w:asciiTheme="minorHAnsi" w:hAnsiTheme="minorHAnsi"/>
              </w:rPr>
              <w:t>VTS</w:t>
            </w:r>
            <w:r w:rsidR="00CA04AF" w:rsidRPr="00CB75F4">
              <w:rPr>
                <w:rFonts w:asciiTheme="minorHAnsi" w:hAnsiTheme="minorHAnsi"/>
              </w:rPr>
              <w:t xml:space="preserve"> </w:t>
            </w:r>
            <w:r w:rsidRPr="00CB75F4">
              <w:rPr>
                <w:rFonts w:asciiTheme="minorHAnsi" w:hAnsiTheme="minorHAnsi"/>
              </w:rPr>
              <w:t>C</w:t>
            </w:r>
            <w:r w:rsidR="00050DA7" w:rsidRPr="00CB75F4">
              <w:rPr>
                <w:rFonts w:asciiTheme="minorHAnsi" w:hAnsiTheme="minorHAnsi"/>
              </w:rPr>
              <w:t>ommittee</w:t>
            </w:r>
          </w:p>
        </w:tc>
        <w:tc>
          <w:tcPr>
            <w:tcW w:w="5461" w:type="dxa"/>
          </w:tcPr>
          <w:p w:rsidR="000348ED" w:rsidRPr="00CB75F4" w:rsidRDefault="00EE1D5F" w:rsidP="00CB75F4">
            <w:pPr>
              <w:jc w:val="right"/>
              <w:rPr>
                <w:rFonts w:asciiTheme="minorHAnsi" w:hAnsiTheme="minorHAnsi"/>
              </w:rPr>
            </w:pPr>
            <w:r w:rsidRPr="00CB75F4">
              <w:rPr>
                <w:rFonts w:asciiTheme="minorHAnsi" w:hAnsiTheme="minorHAnsi"/>
              </w:rPr>
              <w:t>VTS41</w:t>
            </w:r>
            <w:r w:rsidR="00CB75F4">
              <w:rPr>
                <w:rFonts w:asciiTheme="minorHAnsi" w:hAnsiTheme="minorHAnsi"/>
              </w:rPr>
              <w:t>-12.1.6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CB75F4" w:rsidRDefault="005D05AC" w:rsidP="005A73B9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CB75F4">
              <w:rPr>
                <w:rFonts w:asciiTheme="minorHAnsi" w:hAnsiTheme="minorHAnsi"/>
              </w:rPr>
              <w:t>To:</w:t>
            </w:r>
            <w:r w:rsidRPr="00CB75F4">
              <w:rPr>
                <w:rFonts w:asciiTheme="minorHAnsi" w:hAnsiTheme="minorHAnsi"/>
              </w:rPr>
              <w:tab/>
            </w:r>
            <w:r w:rsidR="005A73B9" w:rsidRPr="00CB75F4">
              <w:rPr>
                <w:rFonts w:asciiTheme="minorHAnsi" w:hAnsiTheme="minorHAnsi"/>
              </w:rPr>
              <w:t>IALA Council</w:t>
            </w:r>
          </w:p>
        </w:tc>
        <w:tc>
          <w:tcPr>
            <w:tcW w:w="5461" w:type="dxa"/>
          </w:tcPr>
          <w:p w:rsidR="000348ED" w:rsidRPr="00CB75F4" w:rsidRDefault="00CB75F4" w:rsidP="005A73B9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 March</w:t>
            </w:r>
            <w:r w:rsidR="00EE1D5F" w:rsidRPr="00CB75F4">
              <w:rPr>
                <w:rFonts w:asciiTheme="minorHAnsi" w:hAnsiTheme="minorHAnsi"/>
              </w:rPr>
              <w:t xml:space="preserve"> </w:t>
            </w:r>
            <w:r w:rsidR="005D05AC" w:rsidRPr="00CB75F4">
              <w:rPr>
                <w:rFonts w:asciiTheme="minorHAnsi" w:hAnsiTheme="minorHAnsi"/>
              </w:rPr>
              <w:t>20</w:t>
            </w:r>
            <w:r w:rsidR="001A654A" w:rsidRPr="00CB75F4">
              <w:rPr>
                <w:rFonts w:asciiTheme="minorHAnsi" w:hAnsiTheme="minorHAnsi"/>
              </w:rPr>
              <w:t>1</w:t>
            </w:r>
            <w:r w:rsidR="00EE1D5F" w:rsidRPr="00CB75F4">
              <w:rPr>
                <w:rFonts w:asciiTheme="minorHAnsi" w:hAnsiTheme="minorHAnsi"/>
              </w:rPr>
              <w:t>6</w:t>
            </w:r>
          </w:p>
        </w:tc>
      </w:tr>
    </w:tbl>
    <w:p w:rsidR="00856E0B" w:rsidRPr="00A97788" w:rsidRDefault="00856E0B" w:rsidP="00CB75F4">
      <w:pPr>
        <w:pStyle w:val="Title"/>
        <w:rPr>
          <w:rFonts w:asciiTheme="minorHAnsi" w:eastAsia="Arial Bold" w:hAnsiTheme="minorHAnsi"/>
          <w:color w:val="548DD4" w:themeColor="text2" w:themeTint="99"/>
        </w:rPr>
      </w:pPr>
      <w:r w:rsidRPr="00A97788">
        <w:rPr>
          <w:rFonts w:asciiTheme="minorHAnsi" w:hAnsiTheme="minorHAnsi"/>
          <w:color w:val="548DD4" w:themeColor="text2" w:themeTint="99"/>
        </w:rPr>
        <w:t>COMMON PHRASEOLOGY AND PROCEDURES FOR VTS COMMUNICATIONS WORKSHOP</w:t>
      </w:r>
    </w:p>
    <w:p w:rsidR="0064435F" w:rsidRPr="00A97788" w:rsidRDefault="0064435F" w:rsidP="00CB75F4">
      <w:pPr>
        <w:pStyle w:val="Heading1"/>
        <w:rPr>
          <w:color w:val="548DD4" w:themeColor="text2" w:themeTint="99"/>
          <w:lang w:val="en-GB"/>
        </w:rPr>
      </w:pPr>
      <w:r w:rsidRPr="00A97788">
        <w:rPr>
          <w:color w:val="548DD4" w:themeColor="text2" w:themeTint="99"/>
          <w:lang w:val="en-GB"/>
        </w:rPr>
        <w:t>Introduction</w:t>
      </w:r>
    </w:p>
    <w:p w:rsidR="00CB75F4" w:rsidRPr="00A97788" w:rsidRDefault="00856E0B" w:rsidP="005A73B9">
      <w:pPr>
        <w:rPr>
          <w:rFonts w:asciiTheme="minorHAnsi" w:hAnsiTheme="minorHAnsi"/>
          <w:lang w:eastAsia="de-DE"/>
        </w:rPr>
      </w:pPr>
      <w:r w:rsidRPr="00A97788">
        <w:rPr>
          <w:rFonts w:asciiTheme="minorHAnsi" w:hAnsiTheme="minorHAnsi"/>
          <w:lang w:eastAsia="de-DE"/>
        </w:rPr>
        <w:t>T</w:t>
      </w:r>
      <w:r w:rsidR="0006242A" w:rsidRPr="00A97788">
        <w:rPr>
          <w:rFonts w:asciiTheme="minorHAnsi" w:hAnsiTheme="minorHAnsi"/>
          <w:lang w:eastAsia="de-DE"/>
        </w:rPr>
        <w:t xml:space="preserve">he VTS Committee </w:t>
      </w:r>
      <w:r w:rsidR="000001DC" w:rsidRPr="00A97788">
        <w:rPr>
          <w:rFonts w:asciiTheme="minorHAnsi" w:hAnsiTheme="minorHAnsi"/>
          <w:lang w:eastAsia="de-DE"/>
        </w:rPr>
        <w:t>proposes</w:t>
      </w:r>
      <w:r w:rsidR="0006242A" w:rsidRPr="00A97788">
        <w:rPr>
          <w:rFonts w:asciiTheme="minorHAnsi" w:hAnsiTheme="minorHAnsi"/>
          <w:lang w:eastAsia="de-DE"/>
        </w:rPr>
        <w:t xml:space="preserve"> to hold a workshop on </w:t>
      </w:r>
      <w:r w:rsidR="00EE1D5F" w:rsidRPr="00A97788">
        <w:rPr>
          <w:rFonts w:asciiTheme="minorHAnsi" w:hAnsiTheme="minorHAnsi"/>
          <w:lang w:eastAsia="de-DE"/>
        </w:rPr>
        <w:t>VTS Communications</w:t>
      </w:r>
      <w:r w:rsidR="0006242A" w:rsidRPr="00A97788">
        <w:rPr>
          <w:rFonts w:asciiTheme="minorHAnsi" w:hAnsiTheme="minorHAnsi"/>
          <w:lang w:eastAsia="de-DE"/>
        </w:rPr>
        <w:t xml:space="preserve"> as described in Annex 1</w:t>
      </w:r>
      <w:r w:rsidR="00E84257" w:rsidRPr="00A97788">
        <w:rPr>
          <w:rFonts w:asciiTheme="minorHAnsi" w:hAnsiTheme="minorHAnsi"/>
          <w:lang w:eastAsia="de-DE"/>
        </w:rPr>
        <w:t>.</w:t>
      </w:r>
      <w:r w:rsidR="0012084D" w:rsidRPr="00A97788">
        <w:rPr>
          <w:rFonts w:asciiTheme="minorHAnsi" w:hAnsiTheme="minorHAnsi"/>
          <w:lang w:eastAsia="de-DE"/>
        </w:rPr>
        <w:t xml:space="preserve">  </w:t>
      </w:r>
    </w:p>
    <w:p w:rsidR="00CB75F4" w:rsidRPr="00A97788" w:rsidRDefault="00CB75F4" w:rsidP="005A73B9">
      <w:pPr>
        <w:rPr>
          <w:rFonts w:asciiTheme="minorHAnsi" w:hAnsiTheme="minorHAnsi"/>
          <w:lang w:eastAsia="de-DE"/>
        </w:rPr>
      </w:pPr>
    </w:p>
    <w:p w:rsidR="0055021C" w:rsidRPr="00A97788" w:rsidRDefault="00E84257" w:rsidP="005A73B9">
      <w:pPr>
        <w:rPr>
          <w:rFonts w:asciiTheme="minorHAnsi" w:hAnsiTheme="minorHAnsi"/>
          <w:lang w:eastAsia="de-DE"/>
        </w:rPr>
      </w:pPr>
      <w:r w:rsidRPr="00A97788">
        <w:rPr>
          <w:rFonts w:asciiTheme="minorHAnsi" w:hAnsiTheme="minorHAnsi"/>
          <w:lang w:eastAsia="de-DE"/>
        </w:rPr>
        <w:t>T</w:t>
      </w:r>
      <w:r w:rsidR="0012084D" w:rsidRPr="00A97788">
        <w:rPr>
          <w:rFonts w:asciiTheme="minorHAnsi" w:hAnsiTheme="minorHAnsi"/>
          <w:lang w:eastAsia="de-DE"/>
        </w:rPr>
        <w:t>he workshop</w:t>
      </w:r>
      <w:r w:rsidRPr="00A97788">
        <w:rPr>
          <w:rFonts w:asciiTheme="minorHAnsi" w:hAnsiTheme="minorHAnsi"/>
          <w:lang w:eastAsia="de-DE"/>
        </w:rPr>
        <w:t xml:space="preserve"> would</w:t>
      </w:r>
      <w:r w:rsidR="0012084D" w:rsidRPr="00A97788">
        <w:rPr>
          <w:rFonts w:asciiTheme="minorHAnsi" w:hAnsiTheme="minorHAnsi"/>
          <w:lang w:eastAsia="de-DE"/>
        </w:rPr>
        <w:t xml:space="preserve"> tak</w:t>
      </w:r>
      <w:r w:rsidRPr="00A97788">
        <w:rPr>
          <w:rFonts w:asciiTheme="minorHAnsi" w:hAnsiTheme="minorHAnsi"/>
          <w:lang w:eastAsia="de-DE"/>
        </w:rPr>
        <w:t>e</w:t>
      </w:r>
      <w:r w:rsidR="0012084D" w:rsidRPr="00A97788">
        <w:rPr>
          <w:rFonts w:asciiTheme="minorHAnsi" w:hAnsiTheme="minorHAnsi"/>
          <w:lang w:eastAsia="de-DE"/>
        </w:rPr>
        <w:t xml:space="preserve"> place between 2</w:t>
      </w:r>
      <w:r w:rsidR="00CB75F4" w:rsidRPr="00A97788">
        <w:rPr>
          <w:rFonts w:asciiTheme="minorHAnsi" w:hAnsiTheme="minorHAnsi"/>
          <w:lang w:eastAsia="de-DE"/>
        </w:rPr>
        <w:t>0 and 24</w:t>
      </w:r>
      <w:r w:rsidR="0012084D" w:rsidRPr="00A97788">
        <w:rPr>
          <w:rFonts w:asciiTheme="minorHAnsi" w:hAnsiTheme="minorHAnsi"/>
          <w:lang w:eastAsia="de-DE"/>
        </w:rPr>
        <w:t xml:space="preserve"> February</w:t>
      </w:r>
      <w:r w:rsidR="00CB75F4" w:rsidRPr="00A97788">
        <w:rPr>
          <w:rFonts w:asciiTheme="minorHAnsi" w:hAnsiTheme="minorHAnsi"/>
          <w:lang w:eastAsia="de-DE"/>
        </w:rPr>
        <w:t xml:space="preserve"> 2017.</w:t>
      </w:r>
      <w:r w:rsidR="0012084D" w:rsidRPr="00A97788">
        <w:rPr>
          <w:rFonts w:asciiTheme="minorHAnsi" w:hAnsiTheme="minorHAnsi"/>
          <w:lang w:eastAsia="de-DE"/>
        </w:rPr>
        <w:t xml:space="preserve"> </w:t>
      </w:r>
    </w:p>
    <w:p w:rsidR="00CB75F4" w:rsidRPr="00A97788" w:rsidRDefault="00CB75F4" w:rsidP="005A73B9">
      <w:pPr>
        <w:rPr>
          <w:rFonts w:asciiTheme="minorHAnsi" w:hAnsiTheme="minorHAnsi"/>
          <w:lang w:eastAsia="de-DE"/>
        </w:rPr>
      </w:pPr>
    </w:p>
    <w:p w:rsidR="0055021C" w:rsidRPr="00A97788" w:rsidRDefault="0055021C" w:rsidP="005A73B9">
      <w:pPr>
        <w:rPr>
          <w:rFonts w:asciiTheme="minorHAnsi" w:hAnsiTheme="minorHAnsi"/>
          <w:lang w:eastAsia="de-DE"/>
        </w:rPr>
      </w:pPr>
      <w:r w:rsidRPr="00A97788">
        <w:rPr>
          <w:rFonts w:asciiTheme="minorHAnsi" w:hAnsiTheme="minorHAnsi"/>
          <w:lang w:eastAsia="de-DE"/>
        </w:rPr>
        <w:t xml:space="preserve">The purpose of this workshop is to </w:t>
      </w:r>
      <w:r w:rsidR="00856E0B" w:rsidRPr="00A97788">
        <w:rPr>
          <w:rFonts w:asciiTheme="minorHAnsi" w:hAnsiTheme="minorHAnsi"/>
          <w:lang w:eastAsia="de-DE"/>
        </w:rPr>
        <w:t>fast track the</w:t>
      </w:r>
      <w:r w:rsidRPr="00A97788">
        <w:rPr>
          <w:rFonts w:asciiTheme="minorHAnsi" w:hAnsiTheme="minorHAnsi"/>
          <w:lang w:eastAsia="de-DE"/>
        </w:rPr>
        <w:t xml:space="preserve"> </w:t>
      </w:r>
      <w:r w:rsidR="00856E0B" w:rsidRPr="00A97788">
        <w:rPr>
          <w:rFonts w:asciiTheme="minorHAnsi" w:eastAsia="Arial" w:hAnsiTheme="minorHAnsi" w:cs="Arial"/>
          <w:szCs w:val="22"/>
        </w:rPr>
        <w:t xml:space="preserve">establishment of </w:t>
      </w:r>
      <w:r w:rsidR="000001DC" w:rsidRPr="00A97788">
        <w:rPr>
          <w:rFonts w:asciiTheme="minorHAnsi" w:eastAsia="Arial" w:hAnsiTheme="minorHAnsi" w:cs="Arial"/>
          <w:szCs w:val="22"/>
        </w:rPr>
        <w:t xml:space="preserve">current and future </w:t>
      </w:r>
      <w:r w:rsidR="00856E0B" w:rsidRPr="00A97788">
        <w:rPr>
          <w:rFonts w:asciiTheme="minorHAnsi" w:eastAsia="Arial" w:hAnsiTheme="minorHAnsi" w:cs="Arial"/>
          <w:szCs w:val="22"/>
        </w:rPr>
        <w:t>stand-alone communication procedures for VTS to facilitate clear and unambiguous transfer of information.</w:t>
      </w:r>
    </w:p>
    <w:p w:rsidR="009F5C36" w:rsidRPr="00A97788" w:rsidRDefault="00AA76C0" w:rsidP="00CB75F4">
      <w:pPr>
        <w:pStyle w:val="Heading1"/>
        <w:rPr>
          <w:color w:val="548DD4" w:themeColor="text2" w:themeTint="99"/>
          <w:lang w:val="en-GB"/>
        </w:rPr>
      </w:pPr>
      <w:r w:rsidRPr="00A97788">
        <w:rPr>
          <w:color w:val="548DD4" w:themeColor="text2" w:themeTint="99"/>
          <w:lang w:val="en-GB"/>
        </w:rPr>
        <w:t>Action requested</w:t>
      </w:r>
    </w:p>
    <w:p w:rsidR="00E84257" w:rsidRPr="00A97788" w:rsidRDefault="00902AA4" w:rsidP="005D05AC">
      <w:pPr>
        <w:pStyle w:val="BodyText"/>
        <w:rPr>
          <w:rFonts w:asciiTheme="minorHAnsi" w:hAnsiTheme="minorHAnsi"/>
        </w:rPr>
      </w:pPr>
      <w:r w:rsidRPr="00A97788">
        <w:rPr>
          <w:rFonts w:asciiTheme="minorHAnsi" w:hAnsiTheme="minorHAnsi"/>
        </w:rPr>
        <w:t xml:space="preserve">The </w:t>
      </w:r>
      <w:r w:rsidR="005A73B9" w:rsidRPr="00A97788">
        <w:rPr>
          <w:rFonts w:asciiTheme="minorHAnsi" w:hAnsiTheme="minorHAnsi"/>
        </w:rPr>
        <w:t>IALA Council</w:t>
      </w:r>
      <w:r w:rsidRPr="00A97788">
        <w:rPr>
          <w:rFonts w:asciiTheme="minorHAnsi" w:hAnsiTheme="minorHAnsi"/>
        </w:rPr>
        <w:t xml:space="preserve"> is requested to</w:t>
      </w:r>
      <w:r w:rsidR="00CB75F4" w:rsidRPr="00A97788">
        <w:rPr>
          <w:rFonts w:asciiTheme="minorHAnsi" w:hAnsiTheme="minorHAnsi"/>
        </w:rPr>
        <w:t xml:space="preserve"> approve t</w:t>
      </w:r>
      <w:r w:rsidR="005A73B9" w:rsidRPr="00A97788">
        <w:rPr>
          <w:rFonts w:asciiTheme="minorHAnsi" w:hAnsiTheme="minorHAnsi"/>
        </w:rPr>
        <w:t xml:space="preserve">he </w:t>
      </w:r>
      <w:r w:rsidR="0006242A" w:rsidRPr="00A97788">
        <w:rPr>
          <w:rFonts w:asciiTheme="minorHAnsi" w:hAnsiTheme="minorHAnsi"/>
        </w:rPr>
        <w:t>propos</w:t>
      </w:r>
      <w:r w:rsidR="000001DC" w:rsidRPr="00A97788">
        <w:rPr>
          <w:rFonts w:asciiTheme="minorHAnsi" w:hAnsiTheme="minorHAnsi"/>
        </w:rPr>
        <w:t>al for the</w:t>
      </w:r>
      <w:r w:rsidR="0006242A" w:rsidRPr="00A97788">
        <w:rPr>
          <w:rFonts w:asciiTheme="minorHAnsi" w:hAnsiTheme="minorHAnsi"/>
        </w:rPr>
        <w:t xml:space="preserve"> workshop</w:t>
      </w:r>
      <w:r w:rsidR="00E84257" w:rsidRPr="00A97788">
        <w:rPr>
          <w:rFonts w:asciiTheme="minorHAnsi" w:hAnsiTheme="minorHAnsi"/>
        </w:rPr>
        <w:t xml:space="preserve"> and </w:t>
      </w:r>
      <w:r w:rsidR="0012084D" w:rsidRPr="00A97788">
        <w:rPr>
          <w:rFonts w:asciiTheme="minorHAnsi" w:hAnsiTheme="minorHAnsi"/>
        </w:rPr>
        <w:t xml:space="preserve"> </w:t>
      </w: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  <w:r w:rsidRPr="00A97788">
        <w:br/>
      </w:r>
    </w:p>
    <w:p w:rsidR="005A73B9" w:rsidRPr="00A97788" w:rsidRDefault="005A73B9" w:rsidP="005A73B9">
      <w:pPr>
        <w:pStyle w:val="Heading1"/>
        <w:numPr>
          <w:ilvl w:val="0"/>
          <w:numId w:val="0"/>
        </w:numPr>
        <w:ind w:left="567"/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</w:pPr>
      <w:r w:rsidRPr="00A97788">
        <w:rPr>
          <w:lang w:val="en-GB"/>
        </w:rPr>
        <w:br w:type="column"/>
      </w:r>
      <w:r w:rsidRPr="00A97788"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lastRenderedPageBreak/>
        <w:t>ANNEX 1</w:t>
      </w:r>
    </w:p>
    <w:p w:rsidR="00E30821" w:rsidRPr="00A97788" w:rsidRDefault="00B434FD" w:rsidP="00E30821">
      <w:pPr>
        <w:pStyle w:val="Heading1"/>
        <w:numPr>
          <w:ilvl w:val="0"/>
          <w:numId w:val="0"/>
        </w:numPr>
        <w:ind w:left="567"/>
        <w:jc w:val="center"/>
        <w:rPr>
          <w:rFonts w:asciiTheme="minorHAnsi" w:eastAsia="Arial Bold" w:hAnsiTheme="minorHAnsi" w:cs="Arial Bold"/>
          <w:color w:val="548DD4" w:themeColor="text2" w:themeTint="99"/>
          <w:sz w:val="24"/>
          <w:szCs w:val="24"/>
          <w:lang w:val="en-GB"/>
        </w:rPr>
      </w:pPr>
      <w:r w:rsidRPr="00A97788"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t>COMMON PHRASEOLOGY AND PROCEDURES FOR VTS COMMUNICATIONS WORKSHOP</w:t>
      </w:r>
    </w:p>
    <w:tbl>
      <w:tblPr>
        <w:tblW w:w="974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796"/>
      </w:tblGrid>
      <w:tr w:rsidR="00E30821" w:rsidRPr="00A97788" w:rsidTr="008905C0">
        <w:trPr>
          <w:trHeight w:val="4323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t>Vision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1D" w:rsidRPr="00A97788" w:rsidRDefault="00220C1D" w:rsidP="00220C1D">
            <w:pPr>
              <w:pStyle w:val="PlainText"/>
              <w:spacing w:after="120"/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97788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To enhance the operational performance and effectiveness of VTS through the adoption of </w:t>
            </w:r>
            <w:r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>common phraseology and procedures for VTS communications</w:t>
            </w:r>
            <w:r w:rsidRPr="00A97788">
              <w:rPr>
                <w:rFonts w:asciiTheme="minorHAnsi" w:hAnsiTheme="minorHAnsi"/>
                <w:sz w:val="22"/>
                <w:szCs w:val="22"/>
                <w:lang w:val="en-GB"/>
              </w:rPr>
              <w:t>.</w:t>
            </w:r>
          </w:p>
          <w:p w:rsidR="00220C1D" w:rsidRPr="00A97788" w:rsidRDefault="00220C1D" w:rsidP="00220C1D">
            <w:pPr>
              <w:pStyle w:val="PlainText"/>
              <w:numPr>
                <w:ilvl w:val="0"/>
                <w:numId w:val="41"/>
              </w:numPr>
              <w:jc w:val="both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97788">
              <w:rPr>
                <w:rFonts w:asciiTheme="minorHAnsi" w:hAnsiTheme="minorHAnsi"/>
                <w:sz w:val="22"/>
                <w:szCs w:val="22"/>
                <w:lang w:val="en-GB"/>
              </w:rPr>
              <w:t>The 2012 IALA VTS Symposium recognised that:</w:t>
            </w:r>
          </w:p>
          <w:p w:rsidR="00220C1D" w:rsidRPr="00A97788" w:rsidRDefault="00220C1D" w:rsidP="00220C1D">
            <w:pPr>
              <w:pStyle w:val="PlainText"/>
              <w:numPr>
                <w:ilvl w:val="1"/>
                <w:numId w:val="41"/>
              </w:numPr>
              <w:ind w:left="834"/>
              <w:jc w:val="both"/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</w:pPr>
            <w:r w:rsidRPr="00A97788">
              <w:rPr>
                <w:rFonts w:asciiTheme="minorHAnsi" w:hAnsiTheme="minorHAnsi"/>
                <w:sz w:val="22"/>
                <w:szCs w:val="22"/>
                <w:lang w:val="en-GB"/>
              </w:rPr>
              <w:t>VTS is a proven cost-effective measure contributing to the safety of navigation, protection of the environment, efficiency of vessel traffic and waterway management, including maritime spatial planning, and</w:t>
            </w:r>
          </w:p>
          <w:p w:rsidR="00220C1D" w:rsidRPr="00A97788" w:rsidRDefault="00220C1D" w:rsidP="00220C1D">
            <w:pPr>
              <w:pStyle w:val="PlainText"/>
              <w:numPr>
                <w:ilvl w:val="1"/>
                <w:numId w:val="41"/>
              </w:numPr>
              <w:ind w:left="834"/>
              <w:jc w:val="both"/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</w:pPr>
            <w:r w:rsidRPr="00A97788">
              <w:rPr>
                <w:rFonts w:asciiTheme="minorHAnsi" w:hAnsiTheme="minorHAnsi"/>
                <w:sz w:val="22"/>
                <w:szCs w:val="22"/>
                <w:lang w:val="en-GB"/>
              </w:rPr>
              <w:t>VTS is firmly established as a focus for information exchange and plays a pivotal role in the maritime transport domain, and</w:t>
            </w:r>
          </w:p>
          <w:p w:rsidR="00220C1D" w:rsidRPr="00A97788" w:rsidRDefault="00220C1D" w:rsidP="00220C1D">
            <w:pPr>
              <w:pStyle w:val="PlainText"/>
              <w:numPr>
                <w:ilvl w:val="1"/>
                <w:numId w:val="41"/>
              </w:numPr>
              <w:ind w:left="834"/>
              <w:jc w:val="both"/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</w:pPr>
            <w:r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>The full potential of VTS is still to be realised, particularly when compared to similar services in the aviation world.</w:t>
            </w:r>
          </w:p>
          <w:p w:rsidR="000001DC" w:rsidRPr="00A97788" w:rsidRDefault="000001DC" w:rsidP="00220C1D">
            <w:pPr>
              <w:pStyle w:val="PlainText"/>
              <w:numPr>
                <w:ilvl w:val="1"/>
                <w:numId w:val="41"/>
              </w:numPr>
              <w:ind w:left="834"/>
              <w:jc w:val="both"/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</w:pPr>
            <w:r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>As mentioned in conclusion 6 that there is a compelling need to establish stand-alone communication procedures for VTS to facilitate clear and unambiguous transfer of information.</w:t>
            </w:r>
          </w:p>
          <w:p w:rsidR="00220C1D" w:rsidRPr="00A97788" w:rsidRDefault="00220C1D" w:rsidP="00220C1D">
            <w:pPr>
              <w:pStyle w:val="PlainText"/>
              <w:numPr>
                <w:ilvl w:val="0"/>
                <w:numId w:val="41"/>
              </w:numPr>
              <w:spacing w:before="120" w:after="120"/>
              <w:jc w:val="both"/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</w:pPr>
            <w:r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 xml:space="preserve">A key factor in realising the full potential of VTS </w:t>
            </w:r>
            <w:r w:rsidR="002B14ED"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 xml:space="preserve">around the world </w:t>
            </w:r>
            <w:r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>is</w:t>
            </w:r>
            <w:r w:rsidR="002176EB"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 xml:space="preserve"> by</w:t>
            </w:r>
            <w:r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 xml:space="preserve"> ensuring that VTS communications are harmonised through common phraseology</w:t>
            </w:r>
            <w:r w:rsidR="000001DC"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>,</w:t>
            </w:r>
            <w:r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 xml:space="preserve"> procedures </w:t>
            </w:r>
            <w:r w:rsidR="000001DC"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 xml:space="preserve">and technology </w:t>
            </w:r>
            <w:r w:rsidRPr="00A97788"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  <w:t>for the delivery of precise, simple and unambiguous communications to the bridge team and allied services.</w:t>
            </w:r>
          </w:p>
          <w:p w:rsidR="00E30821" w:rsidRPr="00A97788" w:rsidRDefault="00E30821" w:rsidP="000001DC">
            <w:pPr>
              <w:pStyle w:val="PlainText"/>
              <w:rPr>
                <w:rFonts w:asciiTheme="minorHAnsi" w:eastAsia="Arial" w:hAnsiTheme="minorHAnsi" w:cs="Arial"/>
                <w:sz w:val="22"/>
                <w:szCs w:val="22"/>
                <w:lang w:val="en-GB"/>
              </w:rPr>
            </w:pPr>
          </w:p>
        </w:tc>
      </w:tr>
      <w:tr w:rsidR="00E30821" w:rsidRPr="00A97788" w:rsidTr="00E30821">
        <w:trPr>
          <w:trHeight w:val="799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lastRenderedPageBreak/>
              <w:t>Proposal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1D" w:rsidRPr="00A97788" w:rsidRDefault="00220C1D" w:rsidP="00220C1D">
            <w:pPr>
              <w:pStyle w:val="Body"/>
              <w:spacing w:after="120"/>
              <w:rPr>
                <w:rFonts w:asciiTheme="minorHAnsi" w:hAnsiTheme="minorHAnsi"/>
              </w:rPr>
            </w:pPr>
            <w:r w:rsidRPr="00A97788">
              <w:rPr>
                <w:rFonts w:asciiTheme="minorHAnsi" w:hAnsiTheme="minorHAnsi"/>
              </w:rPr>
              <w:t xml:space="preserve">To bring together an expert group with professional expertise and experience in communications to develop common phraseology and stand-alone communication procedures for VTS consistent with IMO SMCP </w:t>
            </w:r>
            <w:r w:rsidR="00F6790E" w:rsidRPr="00A97788">
              <w:rPr>
                <w:rFonts w:asciiTheme="minorHAnsi" w:hAnsiTheme="minorHAnsi"/>
              </w:rPr>
              <w:t xml:space="preserve">in order </w:t>
            </w:r>
            <w:r w:rsidRPr="00A97788">
              <w:rPr>
                <w:rFonts w:asciiTheme="minorHAnsi" w:hAnsiTheme="minorHAnsi"/>
              </w:rPr>
              <w:t xml:space="preserve">to facilitate clear and unambiguous transfer of </w:t>
            </w:r>
            <w:r w:rsidR="001F5343" w:rsidRPr="00A97788">
              <w:rPr>
                <w:rFonts w:asciiTheme="minorHAnsi" w:hAnsiTheme="minorHAnsi"/>
              </w:rPr>
              <w:t>messages</w:t>
            </w:r>
            <w:r w:rsidRPr="00A97788">
              <w:rPr>
                <w:rFonts w:asciiTheme="minorHAnsi" w:hAnsiTheme="minorHAnsi"/>
              </w:rPr>
              <w:t>.</w:t>
            </w:r>
          </w:p>
          <w:p w:rsidR="00220C1D" w:rsidRPr="00A97788" w:rsidRDefault="00220C1D" w:rsidP="00220C1D">
            <w:pPr>
              <w:pStyle w:val="Body"/>
              <w:spacing w:after="120"/>
              <w:rPr>
                <w:rFonts w:asciiTheme="minorHAnsi" w:hAnsiTheme="minorHAnsi"/>
              </w:rPr>
            </w:pPr>
            <w:r w:rsidRPr="00A97788">
              <w:rPr>
                <w:rFonts w:asciiTheme="minorHAnsi" w:hAnsiTheme="minorHAnsi"/>
              </w:rPr>
              <w:t xml:space="preserve">A specific focus of the workshop will be on the input of expertise and experience from VTS authorities and training organisations </w:t>
            </w:r>
            <w:r w:rsidR="004714F2" w:rsidRPr="00A97788">
              <w:rPr>
                <w:rFonts w:asciiTheme="minorHAnsi" w:hAnsiTheme="minorHAnsi"/>
              </w:rPr>
              <w:t xml:space="preserve">particularly </w:t>
            </w:r>
            <w:r w:rsidRPr="00A97788">
              <w:rPr>
                <w:rFonts w:asciiTheme="minorHAnsi" w:hAnsiTheme="minorHAnsi"/>
              </w:rPr>
              <w:t xml:space="preserve">where English is not the first language. </w:t>
            </w:r>
          </w:p>
          <w:p w:rsidR="00220C1D" w:rsidRPr="00A97788" w:rsidRDefault="00220C1D" w:rsidP="00220C1D">
            <w:pPr>
              <w:pStyle w:val="Body"/>
              <w:rPr>
                <w:rFonts w:asciiTheme="minorHAnsi" w:hAnsiTheme="minorHAnsi"/>
              </w:rPr>
            </w:pPr>
            <w:r w:rsidRPr="00A97788">
              <w:rPr>
                <w:rFonts w:asciiTheme="minorHAnsi" w:hAnsiTheme="minorHAnsi"/>
              </w:rPr>
              <w:t xml:space="preserve">The workshop will involve several working groups examining </w:t>
            </w:r>
            <w:r w:rsidR="00657750" w:rsidRPr="00A97788">
              <w:rPr>
                <w:rFonts w:asciiTheme="minorHAnsi" w:hAnsiTheme="minorHAnsi"/>
              </w:rPr>
              <w:t xml:space="preserve">such as </w:t>
            </w:r>
            <w:r w:rsidRPr="00A97788">
              <w:rPr>
                <w:rFonts w:asciiTheme="minorHAnsi" w:hAnsiTheme="minorHAnsi"/>
              </w:rPr>
              <w:t xml:space="preserve">the following </w:t>
            </w:r>
            <w:r w:rsidR="00854464" w:rsidRPr="00A97788">
              <w:rPr>
                <w:rFonts w:asciiTheme="minorHAnsi" w:hAnsiTheme="minorHAnsi"/>
              </w:rPr>
              <w:t>subjects</w:t>
            </w:r>
            <w:r w:rsidRPr="00A97788">
              <w:rPr>
                <w:rFonts w:asciiTheme="minorHAnsi" w:hAnsiTheme="minorHAnsi"/>
              </w:rPr>
              <w:t>:</w:t>
            </w:r>
          </w:p>
          <w:p w:rsidR="00220C1D" w:rsidRPr="00A97788" w:rsidRDefault="00220C1D" w:rsidP="00220C1D">
            <w:pPr>
              <w:pStyle w:val="Body"/>
              <w:rPr>
                <w:rFonts w:asciiTheme="minorHAnsi" w:hAnsiTheme="minorHAnsi"/>
              </w:rPr>
            </w:pPr>
          </w:p>
          <w:p w:rsidR="00220C1D" w:rsidRPr="00A97788" w:rsidRDefault="00220C1D" w:rsidP="00220C1D">
            <w:pPr>
              <w:pStyle w:val="Body"/>
              <w:spacing w:after="120"/>
              <w:rPr>
                <w:rFonts w:asciiTheme="minorHAnsi" w:eastAsia="Arial Bold" w:hAnsiTheme="minorHAnsi" w:cs="Arial"/>
                <w:color w:val="548DD4" w:themeColor="text2" w:themeTint="99"/>
              </w:rPr>
            </w:pPr>
            <w:r w:rsidRPr="00A97788">
              <w:rPr>
                <w:rFonts w:asciiTheme="minorHAnsi" w:hAnsiTheme="minorHAnsi" w:cs="Arial"/>
                <w:b/>
                <w:bCs/>
                <w:color w:val="548DD4" w:themeColor="text2" w:themeTint="99"/>
              </w:rPr>
              <w:t>Language</w:t>
            </w:r>
          </w:p>
          <w:p w:rsidR="00220C1D" w:rsidRPr="00A97788" w:rsidRDefault="00220C1D" w:rsidP="00220C1D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lang w:val="en-GB"/>
              </w:rPr>
            </w:pPr>
            <w:r w:rsidRPr="00A97788">
              <w:rPr>
                <w:rFonts w:asciiTheme="minorHAnsi" w:hAnsiTheme="minorHAnsi"/>
                <w:lang w:val="en-GB"/>
              </w:rPr>
              <w:t>Explore and document key issues faced by VTS training organisations and VTS authorities in communicating effectively and ensuring standards and consistency in VTS communications.</w:t>
            </w:r>
          </w:p>
          <w:p w:rsidR="00220C1D" w:rsidRPr="00A97788" w:rsidRDefault="00220C1D" w:rsidP="00220C1D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  <w:lang w:val="en-GB"/>
              </w:rPr>
            </w:pPr>
            <w:r w:rsidRPr="00A97788">
              <w:rPr>
                <w:rFonts w:asciiTheme="minorHAnsi" w:hAnsiTheme="minorHAnsi"/>
                <w:lang w:val="en-GB"/>
              </w:rPr>
              <w:t xml:space="preserve">Review existing </w:t>
            </w:r>
            <w:r w:rsidR="00657750" w:rsidRPr="00A97788">
              <w:rPr>
                <w:rFonts w:asciiTheme="minorHAnsi" w:hAnsiTheme="minorHAnsi"/>
                <w:lang w:val="en-GB"/>
              </w:rPr>
              <w:t xml:space="preserve">IMO, </w:t>
            </w:r>
            <w:r w:rsidRPr="00A97788">
              <w:rPr>
                <w:rFonts w:asciiTheme="minorHAnsi" w:hAnsiTheme="minorHAnsi"/>
                <w:lang w:val="en-GB"/>
              </w:rPr>
              <w:t>IALA, and wider industry guidance and subsequently identify strategies and best practices.</w:t>
            </w:r>
          </w:p>
          <w:p w:rsidR="00220C1D" w:rsidRPr="00A97788" w:rsidRDefault="00220C1D" w:rsidP="00220C1D">
            <w:pPr>
              <w:pStyle w:val="Body"/>
              <w:numPr>
                <w:ilvl w:val="0"/>
                <w:numId w:val="25"/>
              </w:numPr>
              <w:rPr>
                <w:rFonts w:asciiTheme="minorHAnsi" w:eastAsia="Arial" w:hAnsiTheme="minorHAnsi" w:cs="Arial"/>
              </w:rPr>
            </w:pPr>
            <w:r w:rsidRPr="00A97788">
              <w:rPr>
                <w:rFonts w:asciiTheme="minorHAnsi" w:hAnsiTheme="minorHAnsi"/>
              </w:rPr>
              <w:t>Explore VTS message construction and the development of common phraseology to facilitate the clear and unambiguous:</w:t>
            </w:r>
          </w:p>
          <w:p w:rsidR="00220C1D" w:rsidRPr="00A97788" w:rsidRDefault="00220C1D" w:rsidP="00220C1D">
            <w:pPr>
              <w:pStyle w:val="Body"/>
              <w:numPr>
                <w:ilvl w:val="1"/>
                <w:numId w:val="25"/>
              </w:numPr>
              <w:rPr>
                <w:rFonts w:asciiTheme="minorHAnsi" w:eastAsia="Arial" w:hAnsiTheme="minorHAnsi" w:cs="Arial"/>
              </w:rPr>
            </w:pPr>
            <w:r w:rsidRPr="00A97788">
              <w:rPr>
                <w:rFonts w:asciiTheme="minorHAnsi" w:hAnsiTheme="minorHAnsi"/>
              </w:rPr>
              <w:t>transfer of information, and</w:t>
            </w:r>
          </w:p>
          <w:p w:rsidR="00220C1D" w:rsidRPr="00A97788" w:rsidRDefault="00220C1D" w:rsidP="00220C1D">
            <w:pPr>
              <w:pStyle w:val="Body"/>
              <w:numPr>
                <w:ilvl w:val="1"/>
                <w:numId w:val="25"/>
              </w:numPr>
              <w:rPr>
                <w:rFonts w:asciiTheme="minorHAnsi" w:eastAsia="Arial" w:hAnsiTheme="minorHAnsi" w:cs="Arial"/>
              </w:rPr>
            </w:pPr>
            <w:proofErr w:type="gramStart"/>
            <w:r w:rsidRPr="00A97788">
              <w:rPr>
                <w:rFonts w:asciiTheme="minorHAnsi" w:hAnsiTheme="minorHAnsi"/>
              </w:rPr>
              <w:t>gat</w:t>
            </w:r>
            <w:bookmarkStart w:id="0" w:name="_GoBack"/>
            <w:bookmarkEnd w:id="0"/>
            <w:r w:rsidRPr="00A97788">
              <w:rPr>
                <w:rFonts w:asciiTheme="minorHAnsi" w:hAnsiTheme="minorHAnsi"/>
              </w:rPr>
              <w:t>hering</w:t>
            </w:r>
            <w:proofErr w:type="gramEnd"/>
            <w:r w:rsidRPr="00A97788">
              <w:rPr>
                <w:rFonts w:asciiTheme="minorHAnsi" w:hAnsiTheme="minorHAnsi"/>
              </w:rPr>
              <w:t xml:space="preserve"> of information.</w:t>
            </w:r>
          </w:p>
          <w:p w:rsidR="00220C1D" w:rsidRPr="00A97788" w:rsidRDefault="00220C1D" w:rsidP="00220C1D">
            <w:pPr>
              <w:pStyle w:val="Body"/>
              <w:rPr>
                <w:rFonts w:asciiTheme="minorHAnsi" w:hAnsiTheme="minorHAnsi"/>
              </w:rPr>
            </w:pPr>
          </w:p>
          <w:p w:rsidR="00220C1D" w:rsidRPr="00A97788" w:rsidRDefault="00736813" w:rsidP="00220C1D">
            <w:pPr>
              <w:pStyle w:val="Body"/>
              <w:spacing w:after="120"/>
              <w:rPr>
                <w:rFonts w:asciiTheme="minorHAnsi" w:eastAsia="Arial Bold" w:hAnsiTheme="minorHAnsi" w:cs="Arial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 w:cs="Arial"/>
                <w:b/>
                <w:color w:val="548DD4" w:themeColor="text2" w:themeTint="99"/>
              </w:rPr>
              <w:t>Operational Effectiveness</w:t>
            </w:r>
          </w:p>
          <w:p w:rsidR="00220C1D" w:rsidRPr="00A97788" w:rsidRDefault="00220C1D" w:rsidP="00220C1D">
            <w:pPr>
              <w:pStyle w:val="Body"/>
              <w:numPr>
                <w:ilvl w:val="0"/>
                <w:numId w:val="25"/>
              </w:numPr>
              <w:rPr>
                <w:rFonts w:asciiTheme="minorHAnsi" w:eastAsia="Arial" w:hAnsiTheme="minorHAnsi" w:cs="Arial"/>
              </w:rPr>
            </w:pPr>
            <w:r w:rsidRPr="00A97788">
              <w:rPr>
                <w:rFonts w:asciiTheme="minorHAnsi" w:hAnsiTheme="minorHAnsi"/>
              </w:rPr>
              <w:t>Identify and explore factors on how best common phraseology can be integrated with the developing stand-alone communication procedures to facilitate clear and unambiguous transfer of information.</w:t>
            </w:r>
          </w:p>
          <w:p w:rsidR="00220C1D" w:rsidRPr="00A97788" w:rsidRDefault="00220C1D" w:rsidP="00220C1D">
            <w:pPr>
              <w:pStyle w:val="Body"/>
              <w:rPr>
                <w:rFonts w:asciiTheme="minorHAnsi" w:hAnsiTheme="minorHAnsi"/>
              </w:rPr>
            </w:pPr>
          </w:p>
          <w:p w:rsidR="00854464" w:rsidRPr="00A97788" w:rsidRDefault="00854464" w:rsidP="00220C1D">
            <w:pPr>
              <w:pStyle w:val="Body"/>
              <w:spacing w:after="120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color w:val="548DD4" w:themeColor="text2" w:themeTint="99"/>
              </w:rPr>
              <w:t>Technology</w:t>
            </w:r>
          </w:p>
          <w:p w:rsidR="000B441D" w:rsidRPr="00A97788" w:rsidRDefault="00854464" w:rsidP="00A6075E">
            <w:pPr>
              <w:pStyle w:val="Body"/>
              <w:numPr>
                <w:ilvl w:val="0"/>
                <w:numId w:val="45"/>
              </w:numPr>
              <w:spacing w:after="120"/>
              <w:rPr>
                <w:rFonts w:asciiTheme="minorHAnsi" w:hAnsiTheme="minorHAnsi"/>
              </w:rPr>
            </w:pPr>
            <w:r w:rsidRPr="00A97788">
              <w:rPr>
                <w:rFonts w:asciiTheme="minorHAnsi" w:hAnsiTheme="minorHAnsi"/>
              </w:rPr>
              <w:t>Identify the potential of future technology such as VDES for VTS Communications.</w:t>
            </w:r>
          </w:p>
          <w:p w:rsidR="00220C1D" w:rsidRPr="00A97788" w:rsidRDefault="00220C1D" w:rsidP="00220C1D">
            <w:pPr>
              <w:pStyle w:val="Body"/>
              <w:spacing w:after="120"/>
              <w:rPr>
                <w:rFonts w:asciiTheme="minorHAnsi" w:hAnsiTheme="minorHAnsi"/>
                <w:b/>
              </w:rPr>
            </w:pPr>
            <w:r w:rsidRPr="00A97788">
              <w:rPr>
                <w:rFonts w:asciiTheme="minorHAnsi" w:hAnsiTheme="minorHAnsi"/>
                <w:b/>
                <w:color w:val="548DD4" w:themeColor="text2" w:themeTint="99"/>
              </w:rPr>
              <w:t>Qualifications</w:t>
            </w:r>
            <w:r w:rsidRPr="00A97788">
              <w:rPr>
                <w:rFonts w:asciiTheme="minorHAnsi" w:hAnsiTheme="minorHAnsi"/>
                <w:b/>
              </w:rPr>
              <w:t xml:space="preserve"> </w:t>
            </w:r>
            <w:r w:rsidRPr="00A97788">
              <w:rPr>
                <w:rFonts w:asciiTheme="minorHAnsi" w:hAnsiTheme="minorHAnsi"/>
                <w:b/>
                <w:color w:val="548DD4" w:themeColor="text2" w:themeTint="99"/>
              </w:rPr>
              <w:t>and Training</w:t>
            </w:r>
          </w:p>
          <w:p w:rsidR="00E30821" w:rsidRPr="00A97788" w:rsidRDefault="00220C1D" w:rsidP="00736813">
            <w:pPr>
              <w:pStyle w:val="Body"/>
              <w:numPr>
                <w:ilvl w:val="0"/>
                <w:numId w:val="44"/>
              </w:numPr>
              <w:rPr>
                <w:rFonts w:asciiTheme="minorHAnsi" w:eastAsia="Arial" w:hAnsiTheme="minorHAnsi" w:cs="Arial"/>
              </w:rPr>
            </w:pPr>
            <w:r w:rsidRPr="00A97788">
              <w:rPr>
                <w:rFonts w:asciiTheme="minorHAnsi" w:hAnsiTheme="minorHAnsi"/>
              </w:rPr>
              <w:t>Identify and explore how the development of common phraseology and procedures for VTS communications can best be incorporated in IALA Recommendation V-103 on Standards for Training and Certification of VTS Personnel and associated model courses, Guideline 1014 on Accreditation of VTS Training Courses and other guidance.</w:t>
            </w:r>
          </w:p>
          <w:p w:rsidR="00E30821" w:rsidRPr="00A97788" w:rsidRDefault="00E30821" w:rsidP="008905C0">
            <w:pPr>
              <w:pStyle w:val="Body"/>
              <w:rPr>
                <w:rFonts w:asciiTheme="minorHAnsi" w:hAnsiTheme="minorHAnsi"/>
              </w:rPr>
            </w:pPr>
          </w:p>
        </w:tc>
      </w:tr>
      <w:tr w:rsidR="00E30821" w:rsidRPr="00A97788" w:rsidTr="008905C0">
        <w:trPr>
          <w:trHeight w:val="3483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lastRenderedPageBreak/>
              <w:t>Purpose(s)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20C1D" w:rsidRPr="00A97788" w:rsidRDefault="00220C1D" w:rsidP="00220C1D">
            <w:pPr>
              <w:pStyle w:val="List1Paragraph"/>
              <w:ind w:left="34" w:firstLine="0"/>
              <w:rPr>
                <w:rFonts w:asciiTheme="minorHAnsi" w:hAnsiTheme="minorHAnsi"/>
                <w:lang w:val="en-GB"/>
              </w:rPr>
            </w:pPr>
            <w:r w:rsidRPr="00A97788">
              <w:rPr>
                <w:rFonts w:asciiTheme="minorHAnsi" w:hAnsiTheme="minorHAnsi"/>
                <w:lang w:val="en-GB"/>
              </w:rPr>
              <w:t xml:space="preserve">To provide the VTS Committee with proposals, concepts and examples of best practice that can be used in the development of guidance on </w:t>
            </w:r>
            <w:r w:rsidR="00854464" w:rsidRPr="00A97788">
              <w:rPr>
                <w:rFonts w:asciiTheme="minorHAnsi" w:hAnsiTheme="minorHAnsi"/>
                <w:lang w:val="en-GB"/>
              </w:rPr>
              <w:t>VTS Communications</w:t>
            </w:r>
            <w:r w:rsidRPr="00A97788">
              <w:rPr>
                <w:rFonts w:asciiTheme="minorHAnsi" w:hAnsiTheme="minorHAnsi"/>
                <w:lang w:val="en-GB"/>
              </w:rPr>
              <w:t xml:space="preserve">. </w:t>
            </w:r>
          </w:p>
          <w:p w:rsidR="00220C1D" w:rsidRPr="00A97788" w:rsidRDefault="00220C1D" w:rsidP="00220C1D">
            <w:pPr>
              <w:pStyle w:val="List1Paragraph"/>
              <w:ind w:left="34" w:firstLine="0"/>
              <w:contextualSpacing/>
              <w:rPr>
                <w:rFonts w:asciiTheme="minorHAnsi" w:hAnsiTheme="minorHAnsi"/>
                <w:lang w:val="en-GB"/>
              </w:rPr>
            </w:pPr>
            <w:r w:rsidRPr="00A97788">
              <w:rPr>
                <w:rFonts w:asciiTheme="minorHAnsi" w:hAnsiTheme="minorHAnsi"/>
                <w:lang w:val="en-GB"/>
              </w:rPr>
              <w:t xml:space="preserve">The workshop would facilitate the exchange of best practices, ideas and knowledge amongst a wide range of VTS professionals and those from other sectors and contribute to influencing the formulation and development of IALA </w:t>
            </w:r>
            <w:r w:rsidR="00483580" w:rsidRPr="00A97788">
              <w:rPr>
                <w:rFonts w:asciiTheme="minorHAnsi" w:hAnsiTheme="minorHAnsi"/>
                <w:lang w:val="en-GB"/>
              </w:rPr>
              <w:t>documentation</w:t>
            </w:r>
            <w:r w:rsidRPr="00A97788">
              <w:rPr>
                <w:rFonts w:asciiTheme="minorHAnsi" w:hAnsiTheme="minorHAnsi"/>
                <w:lang w:val="en-GB"/>
              </w:rPr>
              <w:t xml:space="preserve"> on VTS Communications.</w:t>
            </w:r>
          </w:p>
          <w:p w:rsidR="00220C1D" w:rsidRPr="00A97788" w:rsidRDefault="00220C1D" w:rsidP="00220C1D">
            <w:pPr>
              <w:pStyle w:val="Bullet1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134"/>
              </w:tabs>
              <w:spacing w:after="0"/>
              <w:ind w:left="34"/>
              <w:rPr>
                <w:rFonts w:asciiTheme="minorHAnsi" w:hAnsiTheme="minorHAnsi"/>
                <w:lang w:val="en-GB"/>
              </w:rPr>
            </w:pPr>
            <w:r w:rsidRPr="00A97788">
              <w:rPr>
                <w:rFonts w:asciiTheme="minorHAnsi" w:hAnsiTheme="minorHAnsi"/>
                <w:lang w:val="en-GB"/>
              </w:rPr>
              <w:t>The workshop would also contribute to enhancing other IALA documents related to VTS communications, such as:</w:t>
            </w:r>
          </w:p>
          <w:p w:rsidR="00220C1D" w:rsidRPr="00A97788" w:rsidRDefault="00220C1D" w:rsidP="00220C1D">
            <w:pPr>
              <w:pStyle w:val="Bullet1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134"/>
              </w:tabs>
              <w:spacing w:after="0"/>
              <w:rPr>
                <w:rFonts w:asciiTheme="minorHAnsi" w:hAnsiTheme="minorHAnsi"/>
                <w:lang w:val="en-GB"/>
              </w:rPr>
            </w:pPr>
            <w:r w:rsidRPr="00A97788">
              <w:rPr>
                <w:rFonts w:asciiTheme="minorHAnsi" w:hAnsiTheme="minorHAnsi"/>
                <w:lang w:val="en-GB"/>
              </w:rPr>
              <w:t>Recommendation V-103 and its associated Model Courses with specific reference to the modules dealing communication.</w:t>
            </w:r>
          </w:p>
          <w:p w:rsidR="00220C1D" w:rsidRPr="00A97788" w:rsidRDefault="00220C1D" w:rsidP="00220C1D">
            <w:pPr>
              <w:pStyle w:val="Bullet1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1134"/>
              </w:tabs>
              <w:spacing w:after="0"/>
              <w:rPr>
                <w:rFonts w:asciiTheme="minorHAnsi" w:hAnsiTheme="minorHAnsi"/>
                <w:lang w:val="en-GB"/>
              </w:rPr>
            </w:pPr>
            <w:r w:rsidRPr="00A97788">
              <w:rPr>
                <w:rFonts w:asciiTheme="minorHAnsi" w:hAnsiTheme="minorHAnsi"/>
                <w:lang w:val="en-GB"/>
              </w:rPr>
              <w:t>Recommendation V-127 on Operational Procedures for Vessel Traffic Services.</w:t>
            </w:r>
          </w:p>
          <w:p w:rsidR="00E30821" w:rsidRPr="00A97788" w:rsidRDefault="00220C1D" w:rsidP="00706E2C">
            <w:pPr>
              <w:pStyle w:val="Bullet1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Theme="minorHAnsi" w:hAnsiTheme="minorHAnsi"/>
                <w:lang w:val="en-GB"/>
              </w:rPr>
            </w:pPr>
            <w:r w:rsidRPr="00A97788">
              <w:rPr>
                <w:rFonts w:asciiTheme="minorHAnsi" w:hAnsiTheme="minorHAnsi"/>
                <w:lang w:val="en-GB"/>
              </w:rPr>
              <w:t>Guideline 1089 on Types of Service (INS, TOS and NAS).</w:t>
            </w:r>
          </w:p>
        </w:tc>
      </w:tr>
      <w:tr w:rsidR="00E30821" w:rsidRPr="00A97788" w:rsidTr="008905C0">
        <w:trPr>
          <w:trHeight w:val="963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t>Goal(s)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4" w:type="dxa"/>
              <w:bottom w:w="80" w:type="dxa"/>
              <w:right w:w="80" w:type="dxa"/>
            </w:tcMar>
            <w:vAlign w:val="center"/>
          </w:tcPr>
          <w:p w:rsidR="00E30821" w:rsidRPr="00A97788" w:rsidRDefault="00E84257" w:rsidP="004714F2">
            <w:pPr>
              <w:pStyle w:val="List1Paragraph"/>
              <w:ind w:left="34" w:hanging="34"/>
              <w:rPr>
                <w:rFonts w:asciiTheme="minorHAnsi" w:hAnsiTheme="minorHAnsi"/>
                <w:lang w:val="en-GB"/>
              </w:rPr>
            </w:pPr>
            <w:r w:rsidRPr="00A97788">
              <w:rPr>
                <w:rFonts w:asciiTheme="minorHAnsi" w:hAnsiTheme="minorHAnsi"/>
                <w:lang w:val="en-GB"/>
              </w:rPr>
              <w:t>To assist in the development of</w:t>
            </w:r>
            <w:r w:rsidR="00E741BC" w:rsidRPr="00A97788">
              <w:rPr>
                <w:rFonts w:asciiTheme="minorHAnsi" w:hAnsiTheme="minorHAnsi"/>
                <w:lang w:val="en-GB"/>
              </w:rPr>
              <w:t xml:space="preserve"> IALA documentation and</w:t>
            </w:r>
            <w:r w:rsidR="004714F2" w:rsidRPr="00A97788">
              <w:rPr>
                <w:rFonts w:asciiTheme="minorHAnsi" w:hAnsiTheme="minorHAnsi"/>
                <w:lang w:val="en-GB"/>
              </w:rPr>
              <w:t xml:space="preserve"> associated material</w:t>
            </w:r>
            <w:r w:rsidR="00E741BC" w:rsidRPr="00A97788">
              <w:rPr>
                <w:rFonts w:asciiTheme="minorHAnsi" w:hAnsiTheme="minorHAnsi"/>
                <w:lang w:val="en-GB"/>
              </w:rPr>
              <w:t xml:space="preserve"> addressing the delivery of VTS communications with a view </w:t>
            </w:r>
            <w:r w:rsidR="00736813" w:rsidRPr="00A97788">
              <w:rPr>
                <w:rFonts w:asciiTheme="minorHAnsi" w:hAnsiTheme="minorHAnsi"/>
                <w:lang w:val="en-GB"/>
              </w:rPr>
              <w:t xml:space="preserve">to </w:t>
            </w:r>
            <w:r w:rsidR="00E741BC" w:rsidRPr="00A97788">
              <w:rPr>
                <w:rFonts w:asciiTheme="minorHAnsi" w:hAnsiTheme="minorHAnsi"/>
                <w:lang w:val="en-GB"/>
              </w:rPr>
              <w:t>improving its effectiveness in both routine communications and in developing situations.</w:t>
            </w:r>
          </w:p>
        </w:tc>
      </w:tr>
      <w:tr w:rsidR="00E30821" w:rsidRPr="00A97788" w:rsidTr="008905C0">
        <w:trPr>
          <w:trHeight w:val="3452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t>Who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rPr>
                <w:rFonts w:asciiTheme="minorHAnsi" w:hAnsiTheme="minorHAnsi"/>
              </w:rPr>
            </w:pPr>
            <w:r w:rsidRPr="00A97788">
              <w:rPr>
                <w:rFonts w:asciiTheme="minorHAnsi" w:hAnsiTheme="minorHAnsi"/>
              </w:rPr>
              <w:t>The workshop will provide a forum for discussion between stakeholder groups.  It is envisaged that invitations will be sent to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IALA Members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IMO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IHMA</w:t>
            </w:r>
          </w:p>
          <w:p w:rsidR="00E741BC" w:rsidRPr="00A97788" w:rsidRDefault="00E84257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IMPA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IAPH</w:t>
            </w:r>
          </w:p>
          <w:p w:rsidR="00854464" w:rsidRPr="00A97788" w:rsidRDefault="00854464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CIRM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IFSMA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VTS Personnel / VTS Authorities / Competent Authorities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VTS Stakeholders</w:t>
            </w:r>
            <w:r w:rsidR="00854464" w:rsidRPr="00A97788">
              <w:rPr>
                <w:rFonts w:asciiTheme="minorHAnsi" w:hAnsiTheme="minorHAnsi" w:cs="Arial"/>
                <w:sz w:val="20"/>
                <w:lang w:val="en-GB"/>
              </w:rPr>
              <w:t xml:space="preserve"> </w:t>
            </w:r>
            <w:r w:rsidRPr="00A97788">
              <w:rPr>
                <w:rFonts w:asciiTheme="minorHAnsi" w:hAnsiTheme="minorHAnsi" w:cs="Arial"/>
                <w:sz w:val="20"/>
                <w:lang w:val="en-GB"/>
              </w:rPr>
              <w:t>/</w:t>
            </w:r>
            <w:r w:rsidR="00854464" w:rsidRPr="00A97788">
              <w:rPr>
                <w:rFonts w:asciiTheme="minorHAnsi" w:hAnsiTheme="minorHAnsi" w:cs="Arial"/>
                <w:sz w:val="20"/>
                <w:lang w:val="en-GB"/>
              </w:rPr>
              <w:t xml:space="preserve"> </w:t>
            </w:r>
            <w:r w:rsidRPr="00A97788">
              <w:rPr>
                <w:rFonts w:asciiTheme="minorHAnsi" w:hAnsiTheme="minorHAnsi" w:cs="Arial"/>
                <w:sz w:val="20"/>
                <w:lang w:val="en-GB"/>
              </w:rPr>
              <w:t>Allied services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Training Organisations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Nautical Institute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 w:cs="Arial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Linguistic experts in the transportation sect</w:t>
            </w:r>
            <w:r w:rsidR="00A6075E" w:rsidRPr="00A97788">
              <w:rPr>
                <w:rFonts w:asciiTheme="minorHAnsi" w:hAnsiTheme="minorHAnsi" w:cs="Arial"/>
                <w:sz w:val="20"/>
                <w:lang w:val="en-GB"/>
              </w:rPr>
              <w:t>or</w:t>
            </w:r>
          </w:p>
          <w:p w:rsidR="00E741BC" w:rsidRPr="00A97788" w:rsidRDefault="00E741BC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Marine Accident Investigators</w:t>
            </w:r>
          </w:p>
          <w:p w:rsidR="00657750" w:rsidRPr="00A97788" w:rsidRDefault="00657750" w:rsidP="00E741BC">
            <w:pPr>
              <w:pStyle w:val="Bullet1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134" w:hanging="567"/>
              <w:rPr>
                <w:rFonts w:asciiTheme="minorHAnsi" w:hAnsiTheme="minorHAnsi"/>
                <w:sz w:val="20"/>
                <w:lang w:val="en-GB"/>
              </w:rPr>
            </w:pPr>
            <w:r w:rsidRPr="00A97788">
              <w:rPr>
                <w:rFonts w:asciiTheme="minorHAnsi" w:hAnsiTheme="minorHAnsi" w:cs="Arial"/>
                <w:sz w:val="20"/>
                <w:lang w:val="en-GB"/>
              </w:rPr>
              <w:t>Industrial Members</w:t>
            </w:r>
          </w:p>
        </w:tc>
      </w:tr>
      <w:tr w:rsidR="00E30821" w:rsidRPr="00A97788" w:rsidTr="008905C0">
        <w:trPr>
          <w:trHeight w:val="641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t>Size of Group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164668">
            <w:pPr>
              <w:pStyle w:val="BodyText"/>
              <w:rPr>
                <w:rFonts w:asciiTheme="minorHAnsi" w:hAnsiTheme="minorHAnsi" w:cs="Arial"/>
              </w:rPr>
            </w:pPr>
            <w:r w:rsidRPr="00A97788">
              <w:rPr>
                <w:rFonts w:asciiTheme="minorHAnsi" w:hAnsiTheme="minorHAnsi" w:cs="Arial"/>
              </w:rPr>
              <w:t>It is expected that the worksh</w:t>
            </w:r>
            <w:r w:rsidR="00E741BC" w:rsidRPr="00A97788">
              <w:rPr>
                <w:rFonts w:asciiTheme="minorHAnsi" w:hAnsiTheme="minorHAnsi" w:cs="Arial"/>
              </w:rPr>
              <w:t xml:space="preserve">op </w:t>
            </w:r>
            <w:r w:rsidR="00854464" w:rsidRPr="00A97788">
              <w:rPr>
                <w:rFonts w:asciiTheme="minorHAnsi" w:hAnsiTheme="minorHAnsi" w:cs="Arial"/>
              </w:rPr>
              <w:t xml:space="preserve">may </w:t>
            </w:r>
            <w:r w:rsidR="00E741BC" w:rsidRPr="00A97788">
              <w:rPr>
                <w:rFonts w:asciiTheme="minorHAnsi" w:hAnsiTheme="minorHAnsi" w:cs="Arial"/>
              </w:rPr>
              <w:t xml:space="preserve">attract </w:t>
            </w:r>
            <w:r w:rsidR="00736813" w:rsidRPr="00A97788">
              <w:rPr>
                <w:rFonts w:asciiTheme="minorHAnsi" w:hAnsiTheme="minorHAnsi" w:cs="Arial"/>
              </w:rPr>
              <w:t>an attendance</w:t>
            </w:r>
            <w:r w:rsidR="00E741BC" w:rsidRPr="00A97788">
              <w:rPr>
                <w:rFonts w:asciiTheme="minorHAnsi" w:hAnsiTheme="minorHAnsi" w:cs="Arial"/>
              </w:rPr>
              <w:t xml:space="preserve"> of</w:t>
            </w:r>
            <w:r w:rsidRPr="00A97788">
              <w:rPr>
                <w:rFonts w:asciiTheme="minorHAnsi" w:hAnsiTheme="minorHAnsi" w:cs="Arial"/>
              </w:rPr>
              <w:t xml:space="preserve"> </w:t>
            </w:r>
            <w:r w:rsidR="00164668" w:rsidRPr="00A97788">
              <w:rPr>
                <w:rFonts w:asciiTheme="minorHAnsi" w:hAnsiTheme="minorHAnsi" w:cs="Arial"/>
              </w:rPr>
              <w:t xml:space="preserve">80 </w:t>
            </w:r>
            <w:r w:rsidRPr="00A97788">
              <w:rPr>
                <w:rFonts w:asciiTheme="minorHAnsi" w:hAnsiTheme="minorHAnsi" w:cs="Arial"/>
              </w:rPr>
              <w:t xml:space="preserve">persons.  </w:t>
            </w:r>
          </w:p>
          <w:p w:rsidR="00854464" w:rsidRPr="00A97788" w:rsidRDefault="00854464" w:rsidP="00164668">
            <w:pPr>
              <w:pStyle w:val="BodyText"/>
              <w:rPr>
                <w:rFonts w:asciiTheme="minorHAnsi" w:hAnsiTheme="minorHAnsi" w:cs="Arial"/>
              </w:rPr>
            </w:pPr>
            <w:r w:rsidRPr="00A97788">
              <w:rPr>
                <w:rFonts w:asciiTheme="minorHAnsi" w:hAnsiTheme="minorHAnsi" w:cs="Arial"/>
              </w:rPr>
              <w:t>The workshop can facilitate a maximum of 100 participants.</w:t>
            </w:r>
          </w:p>
        </w:tc>
      </w:tr>
      <w:tr w:rsidR="00E30821" w:rsidRPr="00A97788" w:rsidTr="008905C0">
        <w:trPr>
          <w:trHeight w:val="321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t>Where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C938AD" w:rsidP="008905C0">
            <w:pPr>
              <w:pStyle w:val="BodyText"/>
              <w:rPr>
                <w:rFonts w:asciiTheme="minorHAnsi" w:hAnsiTheme="minorHAnsi" w:cs="Arial"/>
              </w:rPr>
            </w:pPr>
            <w:r w:rsidRPr="00A97788">
              <w:rPr>
                <w:rFonts w:asciiTheme="minorHAnsi" w:hAnsiTheme="minorHAnsi" w:cs="Arial"/>
              </w:rPr>
              <w:t>Bali, Indonesia with technical visits to Lombok VTS Centre and/or VTS Simulation and Training Centre at BP2TL in Jakarta</w:t>
            </w:r>
          </w:p>
        </w:tc>
      </w:tr>
      <w:tr w:rsidR="00E30821" w:rsidRPr="00A97788" w:rsidTr="008905C0">
        <w:trPr>
          <w:trHeight w:val="321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t>Duration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741BC" w:rsidP="008905C0">
            <w:pPr>
              <w:pStyle w:val="BodyText"/>
              <w:rPr>
                <w:rFonts w:asciiTheme="minorHAnsi" w:hAnsiTheme="minorHAnsi" w:cs="Arial"/>
              </w:rPr>
            </w:pPr>
            <w:r w:rsidRPr="00A97788">
              <w:rPr>
                <w:rFonts w:asciiTheme="minorHAnsi" w:hAnsiTheme="minorHAnsi" w:cs="Arial"/>
              </w:rPr>
              <w:t>5</w:t>
            </w:r>
            <w:r w:rsidR="00E30821" w:rsidRPr="00A97788">
              <w:rPr>
                <w:rFonts w:asciiTheme="minorHAnsi" w:hAnsiTheme="minorHAnsi" w:cs="Arial"/>
              </w:rPr>
              <w:t xml:space="preserve"> days</w:t>
            </w:r>
          </w:p>
        </w:tc>
      </w:tr>
      <w:tr w:rsidR="00E30821" w:rsidRPr="00A97788" w:rsidTr="008905C0">
        <w:trPr>
          <w:trHeight w:val="321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t>When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A623A" w:rsidP="00EA623A">
            <w:pPr>
              <w:pStyle w:val="BodyText"/>
              <w:rPr>
                <w:rFonts w:asciiTheme="minorHAnsi" w:hAnsiTheme="minorHAnsi" w:cs="Arial"/>
              </w:rPr>
            </w:pPr>
            <w:r w:rsidRPr="00A97788">
              <w:rPr>
                <w:rFonts w:asciiTheme="minorHAnsi" w:hAnsiTheme="minorHAnsi" w:cs="Arial"/>
              </w:rPr>
              <w:t>20 – 24 February</w:t>
            </w:r>
            <w:r w:rsidR="0012084D" w:rsidRPr="00A97788">
              <w:rPr>
                <w:rFonts w:asciiTheme="minorHAnsi" w:hAnsiTheme="minorHAnsi" w:cs="Arial"/>
              </w:rPr>
              <w:t xml:space="preserve"> 2017</w:t>
            </w:r>
          </w:p>
        </w:tc>
      </w:tr>
      <w:tr w:rsidR="00E30821" w:rsidRPr="00A97788" w:rsidTr="008905C0">
        <w:trPr>
          <w:trHeight w:val="763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E30821" w:rsidP="008905C0">
            <w:pPr>
              <w:pStyle w:val="Body"/>
              <w:jc w:val="center"/>
              <w:rPr>
                <w:rFonts w:asciiTheme="minorHAnsi" w:hAnsiTheme="minorHAnsi"/>
                <w:b/>
                <w:color w:val="548DD4" w:themeColor="text2" w:themeTint="99"/>
              </w:rPr>
            </w:pPr>
            <w:r w:rsidRPr="00A97788">
              <w:rPr>
                <w:rFonts w:asciiTheme="minorHAnsi" w:hAnsiTheme="minorHAnsi"/>
                <w:b/>
                <w:smallCaps/>
                <w:color w:val="548DD4" w:themeColor="text2" w:themeTint="99"/>
                <w:sz w:val="28"/>
                <w:szCs w:val="28"/>
              </w:rPr>
              <w:t>Cost to Participants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0821" w:rsidRPr="00A97788" w:rsidRDefault="0012084D" w:rsidP="008905C0">
            <w:pPr>
              <w:pStyle w:val="BodyText"/>
              <w:rPr>
                <w:rFonts w:asciiTheme="minorHAnsi" w:hAnsiTheme="minorHAnsi" w:cs="Arial"/>
              </w:rPr>
            </w:pPr>
            <w:r w:rsidRPr="00A97788">
              <w:rPr>
                <w:rFonts w:asciiTheme="minorHAnsi" w:hAnsiTheme="minorHAnsi" w:cs="Arial"/>
              </w:rPr>
              <w:t>Registration fee € 600</w:t>
            </w:r>
          </w:p>
        </w:tc>
      </w:tr>
    </w:tbl>
    <w:p w:rsidR="00E30821" w:rsidRPr="00A97788" w:rsidRDefault="00E30821" w:rsidP="00E30821">
      <w:pPr>
        <w:rPr>
          <w:rFonts w:asciiTheme="minorHAnsi" w:hAnsiTheme="minorHAnsi"/>
          <w:lang w:eastAsia="de-DE"/>
        </w:rPr>
      </w:pPr>
    </w:p>
    <w:sectPr w:rsidR="00E30821" w:rsidRPr="00A97788" w:rsidSect="005A73B9">
      <w:headerReference w:type="default" r:id="rId9"/>
      <w:footerReference w:type="default" r:id="rId10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265" w:rsidRDefault="007B7265" w:rsidP="00002906">
      <w:r>
        <w:separator/>
      </w:r>
    </w:p>
  </w:endnote>
  <w:endnote w:type="continuationSeparator" w:id="0">
    <w:p w:rsidR="007B7265" w:rsidRDefault="007B726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Swis721 Hv B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C0" w:rsidRDefault="008905C0">
    <w:pPr>
      <w:pStyle w:val="Footer"/>
    </w:pPr>
    <w:r>
      <w:tab/>
    </w:r>
    <w:r w:rsidR="0057267C">
      <w:fldChar w:fldCharType="begin"/>
    </w:r>
    <w:r>
      <w:instrText xml:space="preserve"> PAGE   \* MERGEFORMAT </w:instrText>
    </w:r>
    <w:r w:rsidR="0057267C">
      <w:fldChar w:fldCharType="separate"/>
    </w:r>
    <w:r w:rsidR="00A97788">
      <w:rPr>
        <w:noProof/>
      </w:rPr>
      <w:t>1</w:t>
    </w:r>
    <w:r w:rsidR="0057267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265" w:rsidRDefault="007B7265" w:rsidP="00002906">
      <w:r>
        <w:separator/>
      </w:r>
    </w:p>
  </w:footnote>
  <w:footnote w:type="continuationSeparator" w:id="0">
    <w:p w:rsidR="007B7265" w:rsidRDefault="007B726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F4" w:rsidRPr="00CB75F4" w:rsidRDefault="00CB75F4" w:rsidP="00CB75F4">
    <w:pPr>
      <w:pStyle w:val="Header"/>
      <w:jc w:val="center"/>
    </w:pPr>
    <w:r>
      <w:rPr>
        <w:b/>
        <w:noProof/>
        <w:sz w:val="32"/>
        <w:szCs w:val="32"/>
        <w:lang w:val="nl-NL" w:eastAsia="nl-NL"/>
      </w:rPr>
      <w:drawing>
        <wp:inline distT="0" distB="0" distL="0" distR="0" wp14:anchorId="36E15F39" wp14:editId="7F0EEFB6">
          <wp:extent cx="476885" cy="46355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A9B"/>
    <w:multiLevelType w:val="multilevel"/>
    <w:tmpl w:val="6314791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">
    <w:nsid w:val="03F92013"/>
    <w:multiLevelType w:val="hybridMultilevel"/>
    <w:tmpl w:val="33FE23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0BCE0376"/>
    <w:multiLevelType w:val="hybridMultilevel"/>
    <w:tmpl w:val="F8B86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5">
    <w:nsid w:val="15E77DCB"/>
    <w:multiLevelType w:val="multilevel"/>
    <w:tmpl w:val="3ECEC7A4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6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C3C6AC5"/>
    <w:multiLevelType w:val="multilevel"/>
    <w:tmpl w:val="C74EA288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8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274F4C84"/>
    <w:multiLevelType w:val="hybridMultilevel"/>
    <w:tmpl w:val="5C72059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41D6B9B"/>
    <w:multiLevelType w:val="multilevel"/>
    <w:tmpl w:val="CB9C9BC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4">
    <w:nsid w:val="35F81974"/>
    <w:multiLevelType w:val="multilevel"/>
    <w:tmpl w:val="5C86E71C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5">
    <w:nsid w:val="3FE62090"/>
    <w:multiLevelType w:val="multilevel"/>
    <w:tmpl w:val="E09EBF02"/>
    <w:styleLink w:val="List41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6">
    <w:nsid w:val="4B1655F8"/>
    <w:multiLevelType w:val="hybridMultilevel"/>
    <w:tmpl w:val="14487CE2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E66DD1"/>
    <w:multiLevelType w:val="multilevel"/>
    <w:tmpl w:val="6856095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9">
    <w:nsid w:val="4E822201"/>
    <w:multiLevelType w:val="multilevel"/>
    <w:tmpl w:val="5B5EB766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0">
    <w:nsid w:val="4F2C232F"/>
    <w:multiLevelType w:val="multilevel"/>
    <w:tmpl w:val="EE62AEE2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F25A6C"/>
    <w:multiLevelType w:val="multilevel"/>
    <w:tmpl w:val="688C2CF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3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4101251"/>
    <w:multiLevelType w:val="multilevel"/>
    <w:tmpl w:val="D4F2C8CE"/>
    <w:styleLink w:val="List31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27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582920"/>
    <w:multiLevelType w:val="multilevel"/>
    <w:tmpl w:val="D9AA059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9">
    <w:nsid w:val="6C721D86"/>
    <w:multiLevelType w:val="multilevel"/>
    <w:tmpl w:val="92CC38DC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30">
    <w:nsid w:val="6DBE5EF1"/>
    <w:multiLevelType w:val="multilevel"/>
    <w:tmpl w:val="204086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31">
    <w:nsid w:val="6FEE3B11"/>
    <w:multiLevelType w:val="multilevel"/>
    <w:tmpl w:val="836C3F9A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3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79340A17"/>
    <w:multiLevelType w:val="hybridMultilevel"/>
    <w:tmpl w:val="8F869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E862C4D"/>
    <w:multiLevelType w:val="multilevel"/>
    <w:tmpl w:val="74F8C29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num w:numId="1">
    <w:abstractNumId w:val="23"/>
  </w:num>
  <w:num w:numId="2">
    <w:abstractNumId w:val="34"/>
  </w:num>
  <w:num w:numId="3">
    <w:abstractNumId w:val="23"/>
  </w:num>
  <w:num w:numId="4">
    <w:abstractNumId w:val="23"/>
  </w:num>
  <w:num w:numId="5">
    <w:abstractNumId w:val="11"/>
  </w:num>
  <w:num w:numId="6">
    <w:abstractNumId w:val="24"/>
  </w:num>
  <w:num w:numId="7">
    <w:abstractNumId w:val="17"/>
  </w:num>
  <w:num w:numId="8">
    <w:abstractNumId w:val="2"/>
  </w:num>
  <w:num w:numId="9">
    <w:abstractNumId w:val="10"/>
  </w:num>
  <w:num w:numId="10">
    <w:abstractNumId w:val="25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32"/>
  </w:num>
  <w:num w:numId="18">
    <w:abstractNumId w:val="8"/>
  </w:num>
  <w:num w:numId="19">
    <w:abstractNumId w:val="27"/>
  </w:num>
  <w:num w:numId="20">
    <w:abstractNumId w:val="21"/>
  </w:num>
  <w:num w:numId="21">
    <w:abstractNumId w:val="12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4"/>
  </w:num>
  <w:num w:numId="26">
    <w:abstractNumId w:val="31"/>
  </w:num>
  <w:num w:numId="27">
    <w:abstractNumId w:val="14"/>
  </w:num>
  <w:num w:numId="28">
    <w:abstractNumId w:val="26"/>
  </w:num>
  <w:num w:numId="29">
    <w:abstractNumId w:val="0"/>
  </w:num>
  <w:num w:numId="30">
    <w:abstractNumId w:val="7"/>
  </w:num>
  <w:num w:numId="31">
    <w:abstractNumId w:val="29"/>
  </w:num>
  <w:num w:numId="32">
    <w:abstractNumId w:val="18"/>
  </w:num>
  <w:num w:numId="33">
    <w:abstractNumId w:val="35"/>
  </w:num>
  <w:num w:numId="34">
    <w:abstractNumId w:val="20"/>
  </w:num>
  <w:num w:numId="35">
    <w:abstractNumId w:val="28"/>
  </w:num>
  <w:num w:numId="36">
    <w:abstractNumId w:val="5"/>
  </w:num>
  <w:num w:numId="37">
    <w:abstractNumId w:val="19"/>
  </w:num>
  <w:num w:numId="38">
    <w:abstractNumId w:val="13"/>
  </w:num>
  <w:num w:numId="39">
    <w:abstractNumId w:val="22"/>
  </w:num>
  <w:num w:numId="40">
    <w:abstractNumId w:val="15"/>
  </w:num>
  <w:num w:numId="41">
    <w:abstractNumId w:val="1"/>
  </w:num>
  <w:num w:numId="42">
    <w:abstractNumId w:val="16"/>
  </w:num>
  <w:num w:numId="43">
    <w:abstractNumId w:val="33"/>
  </w:num>
  <w:num w:numId="44">
    <w:abstractNumId w:val="3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3B9"/>
    <w:rsid w:val="000001DC"/>
    <w:rsid w:val="00002906"/>
    <w:rsid w:val="00031A92"/>
    <w:rsid w:val="000348ED"/>
    <w:rsid w:val="00036801"/>
    <w:rsid w:val="00036CCE"/>
    <w:rsid w:val="00050DA7"/>
    <w:rsid w:val="0006242A"/>
    <w:rsid w:val="000A5A01"/>
    <w:rsid w:val="000B441D"/>
    <w:rsid w:val="0012084D"/>
    <w:rsid w:val="00125BCB"/>
    <w:rsid w:val="00135447"/>
    <w:rsid w:val="00152273"/>
    <w:rsid w:val="00164668"/>
    <w:rsid w:val="001A654A"/>
    <w:rsid w:val="001C74CF"/>
    <w:rsid w:val="001F5343"/>
    <w:rsid w:val="002176EB"/>
    <w:rsid w:val="00220C1D"/>
    <w:rsid w:val="00290B99"/>
    <w:rsid w:val="002B14ED"/>
    <w:rsid w:val="002D1EFA"/>
    <w:rsid w:val="00373F9C"/>
    <w:rsid w:val="003B0A1C"/>
    <w:rsid w:val="003D55DD"/>
    <w:rsid w:val="003E1831"/>
    <w:rsid w:val="00424954"/>
    <w:rsid w:val="00440F6B"/>
    <w:rsid w:val="004714F2"/>
    <w:rsid w:val="004827A6"/>
    <w:rsid w:val="00483580"/>
    <w:rsid w:val="004C1386"/>
    <w:rsid w:val="004C220D"/>
    <w:rsid w:val="004F30F2"/>
    <w:rsid w:val="0052179A"/>
    <w:rsid w:val="0055021C"/>
    <w:rsid w:val="0057267C"/>
    <w:rsid w:val="005A73B9"/>
    <w:rsid w:val="005D05AC"/>
    <w:rsid w:val="00630F7F"/>
    <w:rsid w:val="0064435F"/>
    <w:rsid w:val="00657750"/>
    <w:rsid w:val="006D470F"/>
    <w:rsid w:val="00706E2C"/>
    <w:rsid w:val="00727E88"/>
    <w:rsid w:val="00736813"/>
    <w:rsid w:val="00775878"/>
    <w:rsid w:val="007B36AB"/>
    <w:rsid w:val="007B7265"/>
    <w:rsid w:val="0080092C"/>
    <w:rsid w:val="00802D58"/>
    <w:rsid w:val="00854464"/>
    <w:rsid w:val="00856E0B"/>
    <w:rsid w:val="00872453"/>
    <w:rsid w:val="008905C0"/>
    <w:rsid w:val="008F13DD"/>
    <w:rsid w:val="00902AA4"/>
    <w:rsid w:val="00910910"/>
    <w:rsid w:val="009302C6"/>
    <w:rsid w:val="009F3B6C"/>
    <w:rsid w:val="009F5C36"/>
    <w:rsid w:val="00A27F12"/>
    <w:rsid w:val="00A30579"/>
    <w:rsid w:val="00A6075E"/>
    <w:rsid w:val="00A97788"/>
    <w:rsid w:val="00AA76C0"/>
    <w:rsid w:val="00AC1870"/>
    <w:rsid w:val="00B077EC"/>
    <w:rsid w:val="00B15B24"/>
    <w:rsid w:val="00B418A9"/>
    <w:rsid w:val="00B428DA"/>
    <w:rsid w:val="00B434FD"/>
    <w:rsid w:val="00B8247E"/>
    <w:rsid w:val="00BE56DF"/>
    <w:rsid w:val="00C80D14"/>
    <w:rsid w:val="00C938AD"/>
    <w:rsid w:val="00CA04AF"/>
    <w:rsid w:val="00CB72BE"/>
    <w:rsid w:val="00CB75F4"/>
    <w:rsid w:val="00DF0CE0"/>
    <w:rsid w:val="00E30821"/>
    <w:rsid w:val="00E45126"/>
    <w:rsid w:val="00E741BC"/>
    <w:rsid w:val="00E76A84"/>
    <w:rsid w:val="00E84257"/>
    <w:rsid w:val="00E93C9B"/>
    <w:rsid w:val="00EA554A"/>
    <w:rsid w:val="00EA623A"/>
    <w:rsid w:val="00EC4ED6"/>
    <w:rsid w:val="00EE1D5F"/>
    <w:rsid w:val="00EE3F2F"/>
    <w:rsid w:val="00F00210"/>
    <w:rsid w:val="00F6790E"/>
    <w:rsid w:val="00F73F78"/>
    <w:rsid w:val="00FA5842"/>
    <w:rsid w:val="00FA6769"/>
    <w:rsid w:val="00FD03CA"/>
    <w:rsid w:val="00FD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  <w:style w:type="paragraph" w:styleId="BalloonText">
    <w:name w:val="Balloon Text"/>
    <w:basedOn w:val="Normal"/>
    <w:link w:val="BalloonTextChar"/>
    <w:semiHidden/>
    <w:unhideWhenUsed/>
    <w:rsid w:val="00802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02D5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8488981E-1CFC-4080-BED7-4D2B797F8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25</TotalTime>
  <Pages>4</Pages>
  <Words>770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Wim</cp:lastModifiedBy>
  <cp:revision>5</cp:revision>
  <cp:lastPrinted>2006-10-19T09:49:00Z</cp:lastPrinted>
  <dcterms:created xsi:type="dcterms:W3CDTF">2016-03-11T09:13:00Z</dcterms:created>
  <dcterms:modified xsi:type="dcterms:W3CDTF">2016-03-12T16:04:00Z</dcterms:modified>
</cp:coreProperties>
</file>